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00" w:rsidRPr="005B1200" w:rsidRDefault="005B1200" w:rsidP="005B1200">
      <w:pPr>
        <w:tabs>
          <w:tab w:val="left" w:pos="900"/>
          <w:tab w:val="left" w:pos="2340"/>
          <w:tab w:val="left" w:pos="6840"/>
        </w:tabs>
        <w:suppressAutoHyphens/>
        <w:autoSpaceDE w:val="0"/>
        <w:spacing w:after="0" w:line="240" w:lineRule="auto"/>
        <w:rPr>
          <w:rFonts w:ascii="Times New Roman" w:eastAsia="Lucida Sans Unicode" w:hAnsi="Times New Roman" w:cs="Tahoma"/>
          <w:sz w:val="24"/>
          <w:szCs w:val="24"/>
        </w:rPr>
      </w:pPr>
      <w:r w:rsidRPr="005B1200">
        <w:rPr>
          <w:rFonts w:ascii="Times New Roman" w:eastAsia="Lucida Sans Unicode" w:hAnsi="Times New Roman" w:cs="Tahoma"/>
          <w:color w:val="000000"/>
          <w:sz w:val="24"/>
          <w:szCs w:val="24"/>
        </w:rPr>
        <w:t xml:space="preserve">ZP.1.2017  </w:t>
      </w:r>
    </w:p>
    <w:p w:rsidR="005B1200" w:rsidRPr="005B1200" w:rsidRDefault="005B1200" w:rsidP="005B1200">
      <w:pPr>
        <w:suppressAutoHyphens/>
        <w:autoSpaceDE w:val="0"/>
        <w:spacing w:after="0" w:line="240" w:lineRule="auto"/>
        <w:ind w:right="-1165"/>
        <w:jc w:val="center"/>
        <w:rPr>
          <w:rFonts w:ascii="Times New Roman" w:eastAsia="Lucida Sans Unicode" w:hAnsi="Times New Roman" w:cs="Tahoma"/>
          <w:b/>
          <w:bCs/>
          <w:sz w:val="24"/>
          <w:szCs w:val="24"/>
        </w:rPr>
      </w:pPr>
      <w:r w:rsidRPr="005B1200">
        <w:rPr>
          <w:rFonts w:ascii="Times New Roman" w:eastAsia="Lucida Sans Unicode" w:hAnsi="Times New Roman" w:cs="Tahoma"/>
          <w:sz w:val="24"/>
          <w:szCs w:val="24"/>
        </w:rPr>
        <w:tab/>
      </w:r>
      <w:r w:rsidRPr="005B1200">
        <w:rPr>
          <w:rFonts w:ascii="Times New Roman" w:eastAsia="Lucida Sans Unicode" w:hAnsi="Times New Roman" w:cs="Tahoma"/>
          <w:sz w:val="24"/>
          <w:szCs w:val="24"/>
        </w:rPr>
        <w:tab/>
      </w:r>
      <w:r w:rsidRPr="005B1200">
        <w:rPr>
          <w:rFonts w:ascii="Times New Roman" w:eastAsia="Lucida Sans Unicode" w:hAnsi="Times New Roman" w:cs="Tahoma"/>
          <w:sz w:val="24"/>
          <w:szCs w:val="24"/>
        </w:rPr>
        <w:tab/>
      </w:r>
      <w:r w:rsidRPr="005B1200">
        <w:rPr>
          <w:rFonts w:ascii="Times New Roman" w:eastAsia="Lucida Sans Unicode" w:hAnsi="Times New Roman" w:cs="Tahoma"/>
          <w:sz w:val="24"/>
          <w:szCs w:val="24"/>
        </w:rPr>
        <w:tab/>
      </w:r>
      <w:r w:rsidRPr="005B1200">
        <w:rPr>
          <w:rFonts w:ascii="Times New Roman" w:eastAsia="Lucida Sans Unicode" w:hAnsi="Times New Roman" w:cs="Tahoma"/>
          <w:sz w:val="24"/>
          <w:szCs w:val="24"/>
        </w:rPr>
        <w:tab/>
      </w:r>
      <w:r w:rsidRPr="005B1200">
        <w:rPr>
          <w:rFonts w:ascii="Times New Roman" w:eastAsia="Lucida Sans Unicode" w:hAnsi="Times New Roman" w:cs="Tahoma"/>
          <w:sz w:val="24"/>
          <w:szCs w:val="24"/>
        </w:rPr>
        <w:tab/>
        <w:t xml:space="preserve">                                                                                                                       </w:t>
      </w:r>
      <w:r w:rsidRPr="005B1200">
        <w:rPr>
          <w:rFonts w:ascii="Times New Roman" w:eastAsia="Lucida Sans Unicode" w:hAnsi="Times New Roman" w:cs="Tahoma"/>
          <w:i/>
          <w:iCs/>
          <w:sz w:val="24"/>
          <w:szCs w:val="24"/>
        </w:rPr>
        <w:t xml:space="preserve"> Załącznik nr 4 do SIWZ</w:t>
      </w:r>
    </w:p>
    <w:p w:rsidR="005B1200" w:rsidRPr="005B1200" w:rsidRDefault="005B1200" w:rsidP="005B1200">
      <w:pPr>
        <w:suppressAutoHyphens/>
        <w:spacing w:after="0" w:line="240" w:lineRule="auto"/>
        <w:jc w:val="center"/>
        <w:rPr>
          <w:rFonts w:ascii="Times New Roman" w:eastAsia="Lucida Sans Unicode" w:hAnsi="Times New Roman" w:cs="Tahoma"/>
          <w:b/>
          <w:bCs/>
          <w:sz w:val="24"/>
          <w:szCs w:val="24"/>
        </w:rPr>
      </w:pPr>
    </w:p>
    <w:p w:rsidR="005B1200" w:rsidRPr="005B1200" w:rsidRDefault="005B1200" w:rsidP="005B1200">
      <w:pPr>
        <w:suppressAutoHyphens/>
        <w:spacing w:after="0" w:line="240" w:lineRule="auto"/>
        <w:jc w:val="center"/>
        <w:rPr>
          <w:rFonts w:ascii="Times New Roman" w:eastAsia="Lucida Sans Unicode" w:hAnsi="Times New Roman" w:cs="Tahoma"/>
          <w:b/>
          <w:bCs/>
          <w:sz w:val="24"/>
          <w:szCs w:val="24"/>
        </w:rPr>
      </w:pPr>
    </w:p>
    <w:p w:rsidR="005B1200" w:rsidRPr="005B1200" w:rsidRDefault="005B1200" w:rsidP="005B1200">
      <w:pPr>
        <w:suppressAutoHyphens/>
        <w:spacing w:after="0" w:line="240" w:lineRule="auto"/>
        <w:jc w:val="center"/>
        <w:rPr>
          <w:rFonts w:ascii="Times New Roman" w:eastAsia="Times New Roman" w:hAnsi="Times New Roman" w:cs="Times New Roman"/>
          <w:sz w:val="24"/>
          <w:szCs w:val="24"/>
          <w:lang w:eastAsia="zh-CN"/>
        </w:rPr>
      </w:pPr>
      <w:r w:rsidRPr="005B1200">
        <w:rPr>
          <w:rFonts w:ascii="Times New Roman" w:eastAsia="Lucida Sans Unicode" w:hAnsi="Times New Roman" w:cs="Times New Roman"/>
          <w:b/>
          <w:bCs/>
          <w:sz w:val="24"/>
          <w:szCs w:val="24"/>
        </w:rPr>
        <w:t>SZCZEGÓŁOWY OPIS PRZEDMIOTU ZAMÓWIENIA</w:t>
      </w:r>
    </w:p>
    <w:p w:rsidR="005B1200" w:rsidRPr="005B1200" w:rsidRDefault="005B1200" w:rsidP="005B1200">
      <w:pPr>
        <w:suppressAutoHyphens/>
        <w:spacing w:after="0" w:line="240" w:lineRule="auto"/>
        <w:jc w:val="center"/>
        <w:rPr>
          <w:rFonts w:ascii="Times New Roman" w:eastAsia="Times New Roman" w:hAnsi="Times New Roman" w:cs="Times New Roman"/>
          <w:b/>
          <w:bCs/>
          <w:color w:val="000000"/>
          <w:sz w:val="24"/>
          <w:szCs w:val="24"/>
          <w:lang w:eastAsia="zh-CN"/>
        </w:rPr>
      </w:pPr>
      <w:r w:rsidRPr="005B1200">
        <w:rPr>
          <w:rFonts w:ascii="Times New Roman" w:eastAsia="Times New Roman" w:hAnsi="Times New Roman" w:cs="Times New Roman"/>
          <w:sz w:val="24"/>
          <w:szCs w:val="24"/>
          <w:lang w:eastAsia="zh-CN"/>
        </w:rPr>
        <w:t>na</w:t>
      </w:r>
    </w:p>
    <w:p w:rsidR="005B1200" w:rsidRPr="005B1200" w:rsidRDefault="005B1200" w:rsidP="005B1200">
      <w:pPr>
        <w:tabs>
          <w:tab w:val="left" w:pos="294"/>
        </w:tabs>
        <w:suppressAutoHyphens/>
        <w:spacing w:after="0" w:line="360" w:lineRule="auto"/>
        <w:jc w:val="center"/>
        <w:rPr>
          <w:rFonts w:ascii="Times New Roman" w:eastAsia="Times New Roman" w:hAnsi="Times New Roman" w:cs="Times New Roman"/>
          <w:sz w:val="24"/>
          <w:szCs w:val="24"/>
          <w:lang w:eastAsia="zh-CN"/>
        </w:rPr>
      </w:pPr>
      <w:r w:rsidRPr="005B1200">
        <w:rPr>
          <w:rFonts w:ascii="Times New Roman" w:eastAsia="Times New Roman" w:hAnsi="Times New Roman" w:cs="Times New Roman"/>
          <w:b/>
          <w:bCs/>
          <w:color w:val="000000"/>
          <w:sz w:val="24"/>
          <w:szCs w:val="24"/>
          <w:lang w:eastAsia="zh-CN"/>
        </w:rPr>
        <w:t>„</w:t>
      </w:r>
      <w:r w:rsidRPr="005B1200">
        <w:rPr>
          <w:rFonts w:ascii="Times New Roman" w:eastAsia="Times New Roman" w:hAnsi="Times New Roman" w:cs="Times New Roman"/>
          <w:b/>
          <w:bCs/>
          <w:i/>
          <w:color w:val="000000"/>
          <w:spacing w:val="9"/>
          <w:sz w:val="24"/>
          <w:szCs w:val="24"/>
        </w:rPr>
        <w:t>Zakup wozu strażackiego dla Ochotniczej Straży Pożarnej w Porębie Dzierżnej, Gmina Wolbrom</w:t>
      </w:r>
      <w:r w:rsidRPr="005B1200">
        <w:rPr>
          <w:rFonts w:ascii="Times New Roman" w:eastAsia="Tahoma" w:hAnsi="Times New Roman" w:cs="Times New Roman"/>
          <w:b/>
          <w:bCs/>
          <w:color w:val="000000"/>
          <w:sz w:val="24"/>
          <w:szCs w:val="24"/>
          <w:lang w:eastAsia="zh-CN"/>
        </w:rPr>
        <w:t>”</w:t>
      </w:r>
    </w:p>
    <w:p w:rsidR="005B1200" w:rsidRDefault="005B1200"/>
    <w:p w:rsidR="005B1200" w:rsidRDefault="005B1200"/>
    <w:tbl>
      <w:tblPr>
        <w:tblStyle w:val="Tabela-Siatka"/>
        <w:tblW w:w="14454" w:type="dxa"/>
        <w:tblLook w:val="04A0" w:firstRow="1" w:lastRow="0" w:firstColumn="1" w:lastColumn="0" w:noHBand="0" w:noVBand="1"/>
      </w:tblPr>
      <w:tblGrid>
        <w:gridCol w:w="704"/>
        <w:gridCol w:w="8820"/>
        <w:gridCol w:w="4930"/>
      </w:tblGrid>
      <w:tr w:rsidR="005B1200" w:rsidTr="005B1200">
        <w:tc>
          <w:tcPr>
            <w:tcW w:w="704" w:type="dxa"/>
          </w:tcPr>
          <w:p w:rsidR="005B1200" w:rsidRPr="005B1200" w:rsidRDefault="005B1200" w:rsidP="005B1200">
            <w:pPr>
              <w:pStyle w:val="Akapitzlist"/>
              <w:ind w:left="360"/>
              <w:rPr>
                <w:b/>
              </w:rPr>
            </w:pPr>
          </w:p>
        </w:tc>
        <w:tc>
          <w:tcPr>
            <w:tcW w:w="8820" w:type="dxa"/>
          </w:tcPr>
          <w:p w:rsidR="005B1200" w:rsidRDefault="005B1200" w:rsidP="005B1200">
            <w:pPr>
              <w:tabs>
                <w:tab w:val="left" w:pos="48"/>
                <w:tab w:val="left" w:pos="921"/>
                <w:tab w:val="left" w:pos="6513"/>
                <w:tab w:val="left" w:pos="10395"/>
                <w:tab w:val="left" w:pos="14730"/>
              </w:tabs>
              <w:jc w:val="center"/>
            </w:pPr>
            <w:r>
              <w:rPr>
                <w:rFonts w:ascii="Calibri" w:hAnsi="Calibri" w:cs="Calibri"/>
                <w:b/>
                <w:sz w:val="20"/>
                <w:szCs w:val="20"/>
              </w:rPr>
              <w:t>MINIMALNE WYMAGANIA ZAMAWIAJĄCEGO</w:t>
            </w:r>
            <w:r>
              <w:rPr>
                <w:rFonts w:ascii="Calibri" w:hAnsi="Calibri" w:cs="Calibri"/>
                <w:b/>
                <w:sz w:val="20"/>
                <w:szCs w:val="20"/>
              </w:rPr>
              <w:br/>
              <w:t xml:space="preserve"> (Podstawowe wymagania, jakie </w:t>
            </w:r>
            <w:r>
              <w:rPr>
                <w:rFonts w:ascii="Calibri" w:hAnsi="Calibri" w:cs="Calibri"/>
                <w:b/>
                <w:sz w:val="20"/>
                <w:szCs w:val="20"/>
                <w:u w:val="single"/>
              </w:rPr>
              <w:t>musi spełniać</w:t>
            </w:r>
            <w:r>
              <w:rPr>
                <w:rFonts w:ascii="Calibri" w:hAnsi="Calibri" w:cs="Calibri"/>
                <w:b/>
                <w:sz w:val="20"/>
                <w:szCs w:val="20"/>
              </w:rPr>
              <w:t xml:space="preserve"> oferowany wóz strażacki)</w:t>
            </w:r>
          </w:p>
          <w:p w:rsidR="005B1200" w:rsidRPr="005B1200" w:rsidRDefault="005B1200" w:rsidP="005B1200">
            <w:pPr>
              <w:jc w:val="center"/>
              <w:rPr>
                <w:b/>
              </w:rPr>
            </w:pPr>
          </w:p>
        </w:tc>
        <w:tc>
          <w:tcPr>
            <w:tcW w:w="4930" w:type="dxa"/>
          </w:tcPr>
          <w:p w:rsidR="005B1200" w:rsidRPr="005B1200" w:rsidRDefault="005B1200" w:rsidP="005B1200">
            <w:pPr>
              <w:jc w:val="center"/>
              <w:rPr>
                <w:b/>
              </w:rPr>
            </w:pPr>
            <w:r>
              <w:rPr>
                <w:b/>
              </w:rPr>
              <w:t>UWAGI</w:t>
            </w:r>
          </w:p>
        </w:tc>
      </w:tr>
      <w:tr w:rsidR="00CB08A0" w:rsidTr="005B1200">
        <w:tc>
          <w:tcPr>
            <w:tcW w:w="704" w:type="dxa"/>
          </w:tcPr>
          <w:p w:rsidR="00CB08A0" w:rsidRPr="005B1200" w:rsidRDefault="00CB08A0" w:rsidP="005B1200">
            <w:pPr>
              <w:pStyle w:val="Akapitzlist"/>
              <w:numPr>
                <w:ilvl w:val="0"/>
                <w:numId w:val="1"/>
              </w:numPr>
              <w:jc w:val="center"/>
              <w:rPr>
                <w:b/>
              </w:rPr>
            </w:pPr>
            <w:bookmarkStart w:id="0" w:name="_Hlk493248970"/>
          </w:p>
        </w:tc>
        <w:tc>
          <w:tcPr>
            <w:tcW w:w="8820" w:type="dxa"/>
          </w:tcPr>
          <w:p w:rsidR="00CB08A0" w:rsidRPr="005B1200" w:rsidRDefault="00CB08A0" w:rsidP="005B1200">
            <w:pPr>
              <w:jc w:val="center"/>
              <w:rPr>
                <w:b/>
              </w:rPr>
            </w:pPr>
            <w:r w:rsidRPr="005B1200">
              <w:rPr>
                <w:b/>
              </w:rPr>
              <w:t>Podwozie z kabiną</w:t>
            </w:r>
          </w:p>
        </w:tc>
        <w:tc>
          <w:tcPr>
            <w:tcW w:w="4930" w:type="dxa"/>
          </w:tcPr>
          <w:p w:rsidR="00CB08A0" w:rsidRPr="005B1200" w:rsidRDefault="005B1200" w:rsidP="005B1200">
            <w:pPr>
              <w:jc w:val="center"/>
              <w:rPr>
                <w:b/>
              </w:rPr>
            </w:pPr>
            <w:r w:rsidRPr="005B1200">
              <w:rPr>
                <w:b/>
              </w:rPr>
              <w:t>Uwagi</w:t>
            </w:r>
          </w:p>
        </w:tc>
      </w:tr>
      <w:tr w:rsidR="00CB08A0" w:rsidTr="005B1200">
        <w:tc>
          <w:tcPr>
            <w:tcW w:w="704" w:type="dxa"/>
          </w:tcPr>
          <w:p w:rsidR="00CB08A0" w:rsidRDefault="00CB08A0" w:rsidP="00594D88">
            <w:pPr>
              <w:pStyle w:val="Akapitzlist"/>
              <w:numPr>
                <w:ilvl w:val="1"/>
                <w:numId w:val="1"/>
              </w:numPr>
              <w:ind w:left="447"/>
            </w:pPr>
          </w:p>
        </w:tc>
        <w:tc>
          <w:tcPr>
            <w:tcW w:w="8820" w:type="dxa"/>
          </w:tcPr>
          <w:p w:rsidR="00594D88" w:rsidRDefault="00CB08A0">
            <w:r w:rsidRPr="00C745EC">
              <w:rPr>
                <w:b/>
              </w:rPr>
              <w:t xml:space="preserve">Pojazd fabrycznie nowy wyprodukowany w 2017 roku, dopuszcza się </w:t>
            </w:r>
            <w:r w:rsidR="00594D88" w:rsidRPr="00C745EC">
              <w:rPr>
                <w:b/>
              </w:rPr>
              <w:t>rok produkcji podwozia 2016.</w:t>
            </w:r>
            <w:r w:rsidR="005B1200">
              <w:t xml:space="preserve"> </w:t>
            </w:r>
            <w:r w:rsidR="005B1200">
              <w:br/>
            </w:r>
            <w:r w:rsidR="005B1200" w:rsidRPr="00A03B96">
              <w:t>Spełniający wymogi:</w:t>
            </w:r>
          </w:p>
          <w:p w:rsidR="00594D88" w:rsidRDefault="00CB08A0">
            <w:r>
              <w:t>- ustawy „Prawo o ruchu drogowym” (t</w:t>
            </w:r>
            <w:r w:rsidR="00594D88">
              <w:t>.j. Dz.U.2017.128 ze zmianami),</w:t>
            </w:r>
          </w:p>
          <w:p w:rsidR="00594D88" w:rsidRDefault="00CB08A0">
            <w:r>
              <w:t>- rozporządzenia Ministra Infrastruktury z dnia 31 grudnia 2002r. w sprawie warunków technicznych pojazdów oraz zakresu ich niezbędnego wyposażenia (t.</w:t>
            </w:r>
            <w:r w:rsidR="00594D88">
              <w:t>j. Dz.U.2016.2022 ze zmianami),</w:t>
            </w:r>
          </w:p>
          <w:p w:rsidR="00594D88" w:rsidRDefault="00CB08A0">
            <w:r>
              <w:t>-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Nr 143 poz.</w:t>
            </w:r>
            <w:r w:rsidR="00594D88">
              <w:t xml:space="preserve"> 1002 z późniejszymi zmianami),</w:t>
            </w:r>
          </w:p>
          <w:p w:rsidR="00594D88" w:rsidRDefault="00CB08A0">
            <w:r>
              <w:t xml:space="preserve">- rozporządzenia Ministrów: Spraw Wewnętrznych i Administracji, Obrony </w:t>
            </w:r>
            <w:r w:rsidR="00594D88">
              <w:t>Narodowej</w:t>
            </w:r>
            <w:r>
              <w:t>,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w:t>
            </w:r>
            <w:r w:rsidR="00594D88">
              <w:t>traży pożarnej (Dz.U.2017.450),</w:t>
            </w:r>
          </w:p>
          <w:p w:rsidR="00594D88" w:rsidRDefault="00CB08A0">
            <w:r>
              <w:t xml:space="preserve">- </w:t>
            </w:r>
            <w:r w:rsidRPr="00A03B96">
              <w:t>no</w:t>
            </w:r>
            <w:r w:rsidR="00594D88" w:rsidRPr="00A03B96">
              <w:t>rm PN-EN 1846-1 i PN-EN 1846-2.</w:t>
            </w:r>
          </w:p>
          <w:p w:rsidR="00594D88" w:rsidRDefault="00CB08A0">
            <w:r>
              <w:lastRenderedPageBreak/>
              <w:t>Pojazd musi posiadać najpóźniej w dniu odbioru techniczno- jakościowego ważne świadectwo dopuszczenia zgodnie z rozporządzeniem Ministra Spraw Wewnętrznych i Administracji z dnia 20 czerwca 2007r. w sprawie wykazu wyrobów służących zapewnieniu bezpieczeństwa publicznego lub ochronie zdrowia i życia oraz mienia, a także zasad wydawania dopuszczenia tych wyrobów do użytkowania (t.</w:t>
            </w:r>
            <w:r w:rsidR="00594D88">
              <w:t>j. Dz.U.2016.2022 ze zmianami).</w:t>
            </w:r>
          </w:p>
          <w:p w:rsidR="00594D88" w:rsidRDefault="00CB08A0">
            <w: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w:t>
            </w:r>
            <w:r w:rsidR="00594D88">
              <w:t>podwozia na wykonanie zabudowy.</w:t>
            </w:r>
          </w:p>
          <w:p w:rsidR="00CB08A0" w:rsidRDefault="00CB08A0">
            <w:r>
              <w:t>Urządzenia i podzespoły zamontowane w pojeździe powinny spełniać wymagania odrębnych przepisów krajowych i/lub międzynarodowych.</w:t>
            </w:r>
          </w:p>
        </w:tc>
        <w:tc>
          <w:tcPr>
            <w:tcW w:w="4930" w:type="dxa"/>
          </w:tcPr>
          <w:p w:rsidR="00CB08A0" w:rsidRDefault="00C745EC" w:rsidP="00C745EC">
            <w:pPr>
              <w:jc w:val="both"/>
            </w:pPr>
            <w:r>
              <w:rPr>
                <w:rFonts w:ascii="Calibri" w:hAnsi="Calibri" w:cs="Calibri"/>
                <w:b/>
                <w:bCs/>
                <w:sz w:val="20"/>
                <w:szCs w:val="20"/>
              </w:rPr>
              <w:lastRenderedPageBreak/>
              <w:t>1) Dane dotyczące pojazdu: marka (model podwozia) rok produkcji podwozia należy wskazać w wyznaczonym miejscu Formularza oferty.</w:t>
            </w:r>
          </w:p>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Podwozie samochodu kategorii drugiej, (uterenowiony) ze stałym napędem 4x4 z blokadami mechanizmów różnicowych osi przedniej i tylnej oraz mechanizmu różnicowego międzyosiowego. Skrzynia biegów manualna, minimalnie 8 a maksymalnie 10 przełożeń do </w:t>
            </w:r>
            <w:r w:rsidRPr="00A03B96">
              <w:t>przodu. Maksymalna masa rzeczywista samochodu gotowego do akcji ratowniczo</w:t>
            </w:r>
            <w:r w:rsidR="00594D88" w:rsidRPr="00A03B96">
              <w:t>-</w:t>
            </w:r>
            <w:r w:rsidRPr="00A03B96">
              <w:t>gaśniczej, rozkład tej masy na osie oraz masa przypadająca na każdą z osi nie może przekraczać wartości określonych przez producenta pojazdu lub podwozia bazowego. Dopuszczalna</w:t>
            </w:r>
            <w:r>
              <w:t xml:space="preserve"> różnica w obciążeniu strony lewej i prawej nie może przekroczyć 3%.</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sidP="000C3B8D">
            <w:r>
              <w:t xml:space="preserve">Pojazd wyposażony w urządzenie sygnalizacyjno- ostrzegawcze, akustyczne i świetlne wykonane w technologii LED. Na dachu belka zabezpieczona przed przypadkowym uszkodzeniem, z tyłu dwa niebieskie światła </w:t>
            </w:r>
            <w:r w:rsidRPr="00A03B96">
              <w:t>LED wbudo</w:t>
            </w:r>
            <w:r w:rsidR="00594D88" w:rsidRPr="00A03B96">
              <w:t>wane w narożniki górne zabudowy</w:t>
            </w:r>
            <w:r w:rsidRPr="00A03B96">
              <w:t>. Dodatkowe 4 lampy sygnalizacyjne niebieskie umieszczone na pokrywie silnika, na wysokości lusterek wstecznych samochodu osobowego oraz 1 z obu stron pojazdu na początku zabudowy p</w:t>
            </w:r>
            <w:r w:rsidR="000C3B8D" w:rsidRPr="00A03B96">
              <w:t>ożarniczej w jej górnej części.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Pojazd wyposażony w radiotelefon przewoźny z dodatkowym głośnikiem w tylnej części kabiny. W przedziale autopompy dodatkowy manipulator współpracujący z radiotelefonem przewoźnym, umożliwiający prowadzenie korespondencji, zabezpieczony przed działaniem wody, wyposażony w wyłącznik.</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Sygnał dźwiękowy i świetlny włączonego biegu wstecznego, jako sygnał świetlny akceptuje się światło cofania</w:t>
            </w:r>
            <w:r w:rsidR="00594D88">
              <w:t>.</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594D88" w:rsidRDefault="00594D88">
            <w:r>
              <w:t>Pojazd wyposażony dodatkowo w:</w:t>
            </w:r>
          </w:p>
          <w:p w:rsidR="00594D88" w:rsidRDefault="00CB08A0">
            <w:r>
              <w:t xml:space="preserve">- mocowanie reflektora pogorzeliskowego z gniazdem zasilającym, </w:t>
            </w:r>
          </w:p>
          <w:p w:rsidR="00594D88" w:rsidRDefault="00CB08A0">
            <w:r>
              <w:lastRenderedPageBreak/>
              <w:t>- światła LED do jazdy dziennej wbudowane w reflekto</w:t>
            </w:r>
            <w:r w:rsidR="00594D88">
              <w:t>ry główne pojazdu,</w:t>
            </w:r>
          </w:p>
          <w:p w:rsidR="00594D88" w:rsidRDefault="00CB08A0">
            <w:r>
              <w:t xml:space="preserve">- fabrycznie montowane przednie światła przeciwmgielne wpuszczone w zderzak (nie </w:t>
            </w:r>
            <w:r w:rsidR="00594D88">
              <w:t>wystające poza obrys zderzaka),</w:t>
            </w:r>
          </w:p>
          <w:p w:rsidR="00CB08A0" w:rsidRDefault="00CB08A0">
            <w:r>
              <w:t>- zewnętrzną i wewnętr</w:t>
            </w:r>
            <w:r w:rsidR="00905785">
              <w:t>zną przysłonę przeciwsłoneczną</w:t>
            </w:r>
          </w:p>
          <w:p w:rsidR="00905785" w:rsidRDefault="00905785">
            <w:r>
              <w:rPr>
                <w:sz w:val="20"/>
                <w:szCs w:val="20"/>
              </w:rPr>
              <w:t>- falę świetlną LED zamontowaną nad przedziałem pompowym.</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Podwozie samochodu z silnikiem o zapł</w:t>
            </w:r>
            <w:r w:rsidR="00C745EC">
              <w:t xml:space="preserve">onie samoczynnym, </w:t>
            </w:r>
            <w:r w:rsidR="00C745EC" w:rsidRPr="00C745EC">
              <w:rPr>
                <w:b/>
              </w:rPr>
              <w:t>o mocy min</w:t>
            </w:r>
            <w:r w:rsidR="00C745EC" w:rsidRPr="00A03B96">
              <w:rPr>
                <w:b/>
              </w:rPr>
              <w:t>. 33</w:t>
            </w:r>
            <w:r w:rsidRPr="00A03B96">
              <w:rPr>
                <w:b/>
              </w:rPr>
              <w:t>0 KM</w:t>
            </w:r>
            <w:r w:rsidRPr="00A03B96">
              <w:t>, spełniający</w:t>
            </w:r>
            <w:r>
              <w:t xml:space="preserve"> </w:t>
            </w:r>
            <w:r w:rsidR="00C745EC">
              <w:br/>
            </w:r>
            <w:r>
              <w:t xml:space="preserve">w dniu odbioru obowiązujące przepisy o ruchu drogowym - min. Euro 6. Maksymalny moment obrotowy nie mniejszy niż 1500 Nm. Silnik samochodu przystosowany do zasilania biopaliwami </w:t>
            </w:r>
            <w:r w:rsidRPr="00A03B96">
              <w:t>zgodnie z Normą PN-EN 14214. W</w:t>
            </w:r>
            <w:r>
              <w:t xml:space="preserve"> instrukcji użytkowania samochodu muszą znaleźć się zapisy </w:t>
            </w:r>
            <w:r w:rsidR="00C745EC">
              <w:br/>
            </w:r>
            <w:r>
              <w:t>o warunkach technicznych oraz czynnościach obsługowych koniecznych przy zasilaniu silnika biopaliwami lub paliwami z biokomponentami. Gwarancja na pojazd nie może wyłączać stosowania w/w paliwa</w:t>
            </w:r>
          </w:p>
        </w:tc>
        <w:tc>
          <w:tcPr>
            <w:tcW w:w="4930" w:type="dxa"/>
          </w:tcPr>
          <w:p w:rsidR="00C745EC" w:rsidRDefault="00C745EC" w:rsidP="00C745EC">
            <w:pPr>
              <w:snapToGrid w:val="0"/>
              <w:jc w:val="both"/>
              <w:rPr>
                <w:rFonts w:ascii="Calibri" w:hAnsi="Calibri" w:cs="Calibri"/>
                <w:b/>
                <w:bCs/>
                <w:sz w:val="20"/>
                <w:szCs w:val="20"/>
              </w:rPr>
            </w:pPr>
            <w:r>
              <w:rPr>
                <w:rFonts w:ascii="Calibri" w:hAnsi="Calibri" w:cs="Calibri"/>
                <w:b/>
                <w:bCs/>
                <w:sz w:val="20"/>
                <w:szCs w:val="20"/>
              </w:rPr>
              <w:t xml:space="preserve">1) </w:t>
            </w:r>
            <w:r>
              <w:rPr>
                <w:rFonts w:eastAsia="TimesNewRomanPSMT"/>
                <w:b/>
              </w:rPr>
              <w:t>Parametr techniczny (</w:t>
            </w:r>
            <w:r w:rsidRPr="00C745EC">
              <w:rPr>
                <w:rFonts w:eastAsia="TimesNewRomanPSMT"/>
                <w:b/>
                <w:u w:val="single"/>
              </w:rPr>
              <w:t>moc silnika</w:t>
            </w:r>
            <w:r>
              <w:rPr>
                <w:rFonts w:eastAsia="TimesNewRomanPSMT"/>
                <w:b/>
              </w:rPr>
              <w:t xml:space="preserve">) </w:t>
            </w:r>
            <w:r>
              <w:rPr>
                <w:rFonts w:ascii="Calibri" w:hAnsi="Calibri" w:cs="Calibri"/>
                <w:b/>
                <w:bCs/>
                <w:sz w:val="20"/>
                <w:szCs w:val="20"/>
              </w:rPr>
              <w:t>należy wskazać w wyznaczonym miejscu Formularza oferty.</w:t>
            </w:r>
          </w:p>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sidP="00594D88">
            <w:r>
              <w:t>Maksymalna wysokość całkowita pojazdu nie przekraczająca 31</w:t>
            </w:r>
            <w:r w:rsidR="00594D88">
              <w:t>0</w:t>
            </w:r>
            <w:r>
              <w:t>0 mm. Wykonanie nadwozia z podestami umożliwiającymi łatwy dostęp do sprzętu. Uchylenie (niedomknięcie) lub wysunięcie podestów i żaluzji musi być sygnalizowane w kabinie kierowcy. Podesty zabezpieczone dodatkowymi zamkami uniemożliwiającymi samoczynne otwarcie podestu w przypadku awarii siłownika. Sprzęt powinien być rozmieszczony grupowo w zależności od przeznaczenia z zachowaniem ergonomii.</w:t>
            </w:r>
          </w:p>
          <w:p w:rsidR="00A03B96" w:rsidRPr="00A03B96" w:rsidRDefault="00A03B96" w:rsidP="00A03B96">
            <w:pPr>
              <w:tabs>
                <w:tab w:val="decimal" w:pos="628"/>
                <w:tab w:val="left" w:pos="873"/>
                <w:tab w:val="left" w:pos="6498"/>
                <w:tab w:val="left" w:pos="8514"/>
                <w:tab w:val="left" w:pos="14691"/>
              </w:tabs>
              <w:jc w:val="both"/>
              <w:rPr>
                <w:rFonts w:ascii="Calibri" w:hAnsi="Calibri" w:cs="Calibri"/>
                <w:sz w:val="20"/>
                <w:szCs w:val="20"/>
              </w:rPr>
            </w:pPr>
            <w:r>
              <w:rPr>
                <w:rFonts w:ascii="Calibri" w:hAnsi="Calibri" w:cs="Calibri"/>
                <w:b/>
                <w:bCs/>
              </w:rPr>
              <w:t xml:space="preserve">Prześwit pojazdu min. </w:t>
            </w:r>
            <w:r w:rsidR="00F51D0D">
              <w:rPr>
                <w:rFonts w:ascii="Calibri" w:hAnsi="Calibri" w:cs="Calibri"/>
                <w:b/>
                <w:bCs/>
              </w:rPr>
              <w:t>250</w:t>
            </w:r>
            <w:r>
              <w:rPr>
                <w:rFonts w:ascii="Calibri" w:hAnsi="Calibri" w:cs="Calibri"/>
                <w:b/>
                <w:bCs/>
              </w:rPr>
              <w:t xml:space="preserve"> mm.</w:t>
            </w:r>
          </w:p>
        </w:tc>
        <w:tc>
          <w:tcPr>
            <w:tcW w:w="4930" w:type="dxa"/>
          </w:tcPr>
          <w:p w:rsidR="00CB08A0" w:rsidRPr="00A03B96" w:rsidRDefault="00A03B96" w:rsidP="00A03B96">
            <w:pPr>
              <w:tabs>
                <w:tab w:val="left" w:pos="0"/>
              </w:tabs>
              <w:snapToGrid w:val="0"/>
              <w:jc w:val="both"/>
            </w:pPr>
            <w:r>
              <w:rPr>
                <w:rFonts w:eastAsia="TimesNewRomanPSMT"/>
                <w:b/>
              </w:rPr>
              <w:t>1)</w:t>
            </w:r>
            <w:r w:rsidRPr="00A03B96">
              <w:rPr>
                <w:rFonts w:eastAsia="TimesNewRomanPSMT"/>
                <w:b/>
              </w:rPr>
              <w:t>Parametry techniczne (</w:t>
            </w:r>
            <w:r w:rsidRPr="00A03B96">
              <w:rPr>
                <w:rFonts w:eastAsia="TimesNewRomanPSMT"/>
                <w:b/>
                <w:u w:val="single"/>
              </w:rPr>
              <w:t>prześwit pojazdu</w:t>
            </w:r>
            <w:r w:rsidRPr="00A03B96">
              <w:rPr>
                <w:rFonts w:eastAsia="TimesNewRomanPSMT"/>
                <w:b/>
              </w:rPr>
              <w:t xml:space="preserve">) </w:t>
            </w:r>
            <w:r w:rsidRPr="00A03B96">
              <w:rPr>
                <w:rFonts w:ascii="Calibri" w:hAnsi="Calibri" w:cs="Calibri"/>
                <w:b/>
                <w:bCs/>
                <w:sz w:val="20"/>
                <w:szCs w:val="20"/>
              </w:rPr>
              <w:t>należy wskazać</w:t>
            </w:r>
            <w:r>
              <w:rPr>
                <w:rFonts w:ascii="Calibri" w:hAnsi="Calibri" w:cs="Calibri"/>
                <w:b/>
                <w:bCs/>
                <w:sz w:val="20"/>
                <w:szCs w:val="20"/>
              </w:rPr>
              <w:t xml:space="preserve"> </w:t>
            </w:r>
            <w:r w:rsidRPr="00A03B96">
              <w:rPr>
                <w:rFonts w:ascii="Calibri" w:hAnsi="Calibri" w:cs="Calibri"/>
                <w:b/>
                <w:bCs/>
                <w:sz w:val="20"/>
                <w:szCs w:val="20"/>
              </w:rPr>
              <w:t>w wyznaczonym miejscu Formularza oferty.</w:t>
            </w:r>
          </w:p>
          <w:p w:rsidR="00A03B96" w:rsidRDefault="00A03B96" w:rsidP="00A03B96"/>
        </w:tc>
      </w:tr>
      <w:tr w:rsidR="00CB08A0" w:rsidTr="005B1200">
        <w:tc>
          <w:tcPr>
            <w:tcW w:w="704" w:type="dxa"/>
          </w:tcPr>
          <w:p w:rsidR="00CB08A0" w:rsidRDefault="00CB08A0" w:rsidP="00594D88">
            <w:pPr>
              <w:pStyle w:val="Akapitzlist"/>
              <w:numPr>
                <w:ilvl w:val="1"/>
                <w:numId w:val="1"/>
              </w:numPr>
              <w:ind w:left="447"/>
            </w:pPr>
          </w:p>
        </w:tc>
        <w:tc>
          <w:tcPr>
            <w:tcW w:w="8820" w:type="dxa"/>
          </w:tcPr>
          <w:p w:rsidR="00594D88" w:rsidRDefault="00CB08A0">
            <w:r>
              <w:t>Kabina fabrycznie czterodrzwiowa, jednomodułowa na bazie jednej płyty podłogowej, zawieszona pneumatycznie, zapewniająca dostęp do silnika, w układzie miejsc 1+1+4 (siedze</w:t>
            </w:r>
            <w:r w:rsidR="00594D88">
              <w:t>nia przodem do kierunku jazdy).</w:t>
            </w:r>
          </w:p>
          <w:p w:rsidR="00594D88" w:rsidRDefault="00594D88">
            <w:r>
              <w:t>Kabina wyposażona w:</w:t>
            </w:r>
          </w:p>
          <w:p w:rsidR="00594D88" w:rsidRDefault="00CB08A0">
            <w:r>
              <w:t>- fabryczny ukł</w:t>
            </w:r>
            <w:r w:rsidR="00594D88">
              <w:t>ad klimatyzacji,</w:t>
            </w:r>
          </w:p>
          <w:p w:rsidR="00594D88" w:rsidRDefault="00CB08A0">
            <w:r>
              <w:t>- indywidualne oświ</w:t>
            </w:r>
            <w:r w:rsidR="00594D88">
              <w:t>etlenie nad siedzeniem dowódcy,</w:t>
            </w:r>
          </w:p>
          <w:p w:rsidR="00594D88" w:rsidRDefault="00CB08A0">
            <w:r>
              <w:t>- uchwyty na aparaty powietrzne przewożone w kabinie wg rozwiązani</w:t>
            </w:r>
            <w:r w:rsidR="00594D88">
              <w:t>a technicznego umożliwiającego:</w:t>
            </w:r>
          </w:p>
          <w:p w:rsidR="00594D88" w:rsidRDefault="00CB08A0">
            <w:r>
              <w:t>- jednoczesne przewożenie apar</w:t>
            </w:r>
            <w:r w:rsidR="00594D88">
              <w:t>atów z butlami różnego rodzaju,</w:t>
            </w:r>
          </w:p>
          <w:p w:rsidR="00594D88" w:rsidRDefault="00CB08A0">
            <w:r>
              <w:t>- odblokowanie każdego aparatu indywidualnie (dźwignia odblokowująca o konstrukcji uniemożliwiającej przypadkowe odblokowanie n</w:t>
            </w:r>
            <w:r w:rsidR="00594D88">
              <w:t>p. w czasie hamowania pojazdu),</w:t>
            </w:r>
          </w:p>
          <w:p w:rsidR="00594D88" w:rsidRDefault="00CB08A0">
            <w:r>
              <w:t xml:space="preserve">- uchwyty do trzymania się podczas jazdy dla tylnego przedziału załogi, - dodatkowy schowek na sprzęt w skrzyni pod fotelami </w:t>
            </w:r>
            <w:r w:rsidR="00594D88">
              <w:t>załogi,</w:t>
            </w:r>
          </w:p>
          <w:p w:rsidR="00594D88" w:rsidRDefault="00CB08A0">
            <w:r>
              <w:lastRenderedPageBreak/>
              <w:t xml:space="preserve">- przed siedzeniami członków załogi z tyłu kabiny umieszczona szafka na </w:t>
            </w:r>
            <w:r w:rsidR="00594D88">
              <w:t>wyposażenie osobiste ratowników</w:t>
            </w:r>
          </w:p>
          <w:p w:rsidR="00594D88" w:rsidRDefault="00CB08A0">
            <w:r>
              <w:t xml:space="preserve">- niezależny układ ogrzewania i wentylacji, umożliwiający ogrzewanie </w:t>
            </w:r>
            <w:r w:rsidR="00594D88">
              <w:t>kabiny przy wyłączonym silniku,</w:t>
            </w:r>
          </w:p>
          <w:p w:rsidR="00594D88" w:rsidRDefault="00CB08A0">
            <w:r>
              <w:t>- lusterka boczne zewnętrzne elektrycznie s</w:t>
            </w:r>
            <w:r w:rsidR="00594D88">
              <w:t>terowane i ogrzewane,</w:t>
            </w:r>
          </w:p>
          <w:p w:rsidR="00594D88" w:rsidRDefault="00CB08A0">
            <w:r>
              <w:t xml:space="preserve">- lusterko rampowe </w:t>
            </w:r>
            <w:r w:rsidR="00594D88">
              <w:t>– krawężnikowe z prawej strony,</w:t>
            </w:r>
          </w:p>
          <w:p w:rsidR="00594D88" w:rsidRDefault="00CB08A0">
            <w:r>
              <w:t>- luster</w:t>
            </w:r>
            <w:r w:rsidR="00594D88">
              <w:t>ko rampowe dojazdowe, przednie,</w:t>
            </w:r>
          </w:p>
          <w:p w:rsidR="00594D88" w:rsidRDefault="00CB08A0">
            <w:r>
              <w:t>- szyby boczne opuszc</w:t>
            </w:r>
            <w:r w:rsidR="00594D88">
              <w:t>zane i podnoszone elektrycznie,</w:t>
            </w:r>
          </w:p>
          <w:p w:rsidR="00594D88" w:rsidRDefault="00CB08A0">
            <w:r>
              <w:t>- reflektor ręczny d</w:t>
            </w:r>
            <w:r w:rsidR="00594D88">
              <w:t>o oświetlenia numerów budynków,</w:t>
            </w:r>
          </w:p>
          <w:p w:rsidR="00594D88" w:rsidRDefault="00CB08A0">
            <w:r>
              <w:t>- główny włącznik/wyłącznik oświetleni</w:t>
            </w:r>
            <w:r w:rsidR="00594D88">
              <w:t>a skrytek,</w:t>
            </w:r>
          </w:p>
          <w:p w:rsidR="00594D88" w:rsidRDefault="00CB08A0">
            <w:r>
              <w:t xml:space="preserve">- sygnalizacja otwarcia </w:t>
            </w:r>
            <w:r w:rsidR="00594D88">
              <w:t>skrytek sprzętowych i podestów,</w:t>
            </w:r>
          </w:p>
          <w:p w:rsidR="00594D88" w:rsidRDefault="00CB08A0">
            <w:r>
              <w:t>- sygnalizacja wys</w:t>
            </w:r>
            <w:r w:rsidR="00594D88">
              <w:t>unięcia masztu oświetleniowego,</w:t>
            </w:r>
          </w:p>
          <w:p w:rsidR="00594D88" w:rsidRDefault="00CB08A0">
            <w:r>
              <w:t>- fotel kierowcy z zawieszeniem pneumatycznym i regulacją wysokości, o</w:t>
            </w:r>
            <w:r w:rsidR="00594D88">
              <w:t>dległości i pochylenia oparcia,</w:t>
            </w:r>
          </w:p>
          <w:p w:rsidR="00594D88" w:rsidRDefault="00CB08A0">
            <w:r>
              <w:t xml:space="preserve">- fotele wyposażone w bezwładnościowe </w:t>
            </w:r>
            <w:r w:rsidR="00594D88">
              <w:t>pasy bezpieczeństwa i zagłówki,</w:t>
            </w:r>
          </w:p>
          <w:p w:rsidR="00CB08A0" w:rsidRDefault="00CB08A0">
            <w:r>
              <w:t>- siedzenia pokryte materiałem łatwym w utrzymaniu w czystości, nienasiąkliwym, odpornym na ścieranie i antypoślizgowym. Kabina powinna być automatycznie oświetlana po otwarciu drzwi tej części kabiny; powinna istnieć możliwość włączenia oświetlenia kabiny, gdy drzwi są zamknięte. Drzwi kabiny zamykane kluczem, wszystkie zamki otwierane tym samym kluczem.</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Instalacja elektryczna jednoprzewodowa 24V, z biegunem ujemnym na masie. Moc alternatora i pojemność akumulatorów musi zapewniać pełne zapotrzebowanie na energię elektryczną przy jej maksymalnym obciążeniu</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Samochód powinien być wyposażony w główny wyłącznik prądu, umożliwiający odłączenie akumulatorów od wszystkich systemów elektrycznych (z wyjątkiem tych, które wymagają </w:t>
            </w:r>
            <w:r w:rsidRPr="0073776A">
              <w:t>stałego zasilania). Wyłącznik główny powinien znajdować się w zasięgu kierowcy, po lewej stronie pojazdu</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rsidRPr="0073776A">
              <w:t>Gniazdo z wtyczką do ładowania akumulatorów ze źródła zewnętrznego, umieszczone po lewej stronie (sygnalizacja podłączenia do zewnętrznego źródła w kabinie kierowcy)</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Samochód musi być </w:t>
            </w:r>
            <w:r w:rsidRPr="0073776A">
              <w:t>wyposażony w gniazdo do zasilania układu pneumatycznego pojazdu z zewnętrznego źródła, przyłącze umieszczone po lewej stronie</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594D88" w:rsidRDefault="00594D88">
            <w:r>
              <w:t>Kolorystyka:</w:t>
            </w:r>
          </w:p>
          <w:p w:rsidR="00594D88" w:rsidRDefault="00594D88">
            <w:r>
              <w:t>- nadwozie - RAL 3000,</w:t>
            </w:r>
          </w:p>
          <w:p w:rsidR="00594D88" w:rsidRDefault="00CB08A0">
            <w:r>
              <w:t>- elementy po</w:t>
            </w:r>
            <w:r w:rsidR="00594D88">
              <w:t>dwozia - w odcieniach szarości,</w:t>
            </w:r>
          </w:p>
          <w:p w:rsidR="00594D88" w:rsidRDefault="00CB08A0" w:rsidP="00594D88">
            <w:r>
              <w:lastRenderedPageBreak/>
              <w:t>- drzwi żaluzj</w:t>
            </w:r>
            <w:r w:rsidR="00594D88">
              <w:t>owe - naturalny kolor aluminium,</w:t>
            </w:r>
          </w:p>
          <w:p w:rsidR="00594D88" w:rsidRDefault="00CB08A0" w:rsidP="00594D88">
            <w:r>
              <w:t>- podwozie - czarne (dopuszcza się kolor szary, w przypadku gdy jest to fabry</w:t>
            </w:r>
            <w:r w:rsidR="00594D88">
              <w:t>czny kolor producenta podwozia)</w:t>
            </w:r>
          </w:p>
          <w:p w:rsidR="00CB08A0" w:rsidRDefault="00CB08A0" w:rsidP="00594D88">
            <w:r>
              <w:t>- oklejenie koloru szarego kabiny i na zabudowie (do uzgodnienia z Zamawiającym na etapie produkcji)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Wylot spalin nie może być skierowany na stanowisko obsługi poszczególnych urządzeń pojazdu oraz musi zapewniać ochronę przed oparzeniami podczas normalnej pracy załogi. Wylot spalin dolny, umieszczony pomiędzy osiami.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Wykonywanie codziennych czynności obsługowych silnika musi być możliwe bez podnoszenia kabiny.</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 przy czym jego pojemność nie może być mniejsza niż 150 litrów</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Zawieszenie mechaniczne wzmocnione, musi być dostosowane do maksymalnej masy rzeczywistej pojazdu</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Układ hamulcowy pojazdu z hamulcami bębnowymi obu osi, wyposażony w system ABS. Hamulec postojowy działający na koła obu osi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Ogumienie z bieżnikiem uniwersalnym dostosowanym do różnych warunków atmosferycznych. Na osi przedniej ogumienie </w:t>
            </w:r>
            <w:r w:rsidRPr="0073776A">
              <w:t>pojedyncze, na osi tylnej koła bliźniacze. Wartości</w:t>
            </w:r>
            <w:r>
              <w:t xml:space="preserve"> nominalne ciśnienia w ogumieniu trwale umieszczone nad kołami.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Na wyposażeniu pojazdu pełnowymiarowe koło zapasowe bez konieczności przewożenia w pojeździe.</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Pojazd wyposażony w urządzenie (zaczep holowniczy) umożliwiający odholowanie pojazdu. Urządzenie powinno mieć taką wytrzymałość, aby umożliwić holowanie po drodze pojazdu obciążonego masą całkowitą maksymalną oraz wytrzymywać siłę zarówno ciągnącą jak i ściskającą</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Pojazd należy wyposażyć w zestaw narzędzi przewidziany przez producenta podwozia, podnośnik hydrauliczny oraz narzędzia umożliwiające wymianę koła pojazdu, dwa kliny pod koła, przewód 10m z manometrem do pompowania kół, trójkąt ostrzegawczy, apteczka samochodowa, gaśnica proszkowa 2 kg</w:t>
            </w:r>
          </w:p>
        </w:tc>
        <w:tc>
          <w:tcPr>
            <w:tcW w:w="4930" w:type="dxa"/>
          </w:tcPr>
          <w:p w:rsidR="00CB08A0" w:rsidRDefault="00CB08A0"/>
        </w:tc>
      </w:tr>
      <w:tr w:rsidR="00B06857" w:rsidTr="005B1200">
        <w:tc>
          <w:tcPr>
            <w:tcW w:w="704" w:type="dxa"/>
          </w:tcPr>
          <w:p w:rsidR="00B06857" w:rsidRDefault="00B06857" w:rsidP="00B06857">
            <w:pPr>
              <w:pStyle w:val="Akapitzlist"/>
              <w:numPr>
                <w:ilvl w:val="1"/>
                <w:numId w:val="1"/>
              </w:numPr>
              <w:ind w:left="447"/>
            </w:pPr>
          </w:p>
        </w:tc>
        <w:tc>
          <w:tcPr>
            <w:tcW w:w="8820" w:type="dxa"/>
          </w:tcPr>
          <w:p w:rsidR="00B06857" w:rsidRPr="00CB08A0" w:rsidRDefault="00B06857">
            <w:pPr>
              <w:rPr>
                <w:b/>
              </w:rPr>
            </w:pPr>
            <w:r w:rsidRPr="00B06857">
              <w:t>Maksymalna prędkość na najwyższym biegu nie mniejsza niż 105 km/h</w:t>
            </w:r>
            <w:r w:rsidRPr="00B06857">
              <w:tab/>
            </w:r>
          </w:p>
        </w:tc>
        <w:tc>
          <w:tcPr>
            <w:tcW w:w="4930" w:type="dxa"/>
          </w:tcPr>
          <w:p w:rsidR="00B06857" w:rsidRDefault="00B06857"/>
        </w:tc>
      </w:tr>
      <w:tr w:rsidR="00CB08A0" w:rsidTr="005B1200">
        <w:tc>
          <w:tcPr>
            <w:tcW w:w="704" w:type="dxa"/>
          </w:tcPr>
          <w:p w:rsidR="00CB08A0" w:rsidRDefault="00CB08A0" w:rsidP="00CB08A0">
            <w:pPr>
              <w:pStyle w:val="Akapitzlist"/>
              <w:numPr>
                <w:ilvl w:val="0"/>
                <w:numId w:val="1"/>
              </w:numPr>
            </w:pPr>
          </w:p>
        </w:tc>
        <w:tc>
          <w:tcPr>
            <w:tcW w:w="8820" w:type="dxa"/>
          </w:tcPr>
          <w:p w:rsidR="00CB08A0" w:rsidRPr="00CB08A0" w:rsidRDefault="00CB08A0">
            <w:pPr>
              <w:rPr>
                <w:b/>
              </w:rPr>
            </w:pPr>
            <w:r w:rsidRPr="00CB08A0">
              <w:rPr>
                <w:b/>
              </w:rPr>
              <w:t>Zabudowa pożarnicza:</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Zabudowa wykonana wyłącznie z użyciem materiałów nierdzewnych (stal nierdzewna, aluminium), dopuszcza </w:t>
            </w:r>
            <w:bookmarkStart w:id="1" w:name="_GoBack"/>
            <w:bookmarkEnd w:id="1"/>
            <w:r>
              <w:t>się elementy wykończeniowe wykonane z materiałów kompozytowych. Wewnętrzne poszycia skrytek wyłożone anodowaną blachą aluminiową, natomiast podłoga skrytek wykończona gładką blachą kwasoodporną bez progu, ze spadkiem umożliwiającym odprowadzenie wody na zewnątrz. Aluminiowy system mocowania półek w skrytkach sprzętowych musi umożliwiać płynną regulację wysokości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Dach zabudowy w formie podestu roboczego, w wykonaniu antypoślizgowym, z zamontowanymi uchwytami na </w:t>
            </w:r>
            <w:r w:rsidRPr="0073776A">
              <w:t>sprzęt. Z tyłu pojazdu</w:t>
            </w:r>
            <w:r>
              <w:t xml:space="preserve"> aluminiowa drabinka do wejścia na dach, stopnie w wykonaniu antypoślizgowym. W pobliżu górnej części drabiny zamontowane uchwyt (y) ułatwiające wchodzenie. Na dachu umieszczone uchwyty do zamocowania drabiny</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Dodatkowo na dachu pojazdu zamontowana skrzynia na sprzęt, wykonana z blachy aluminiowej ryflowanej. Skrzynia musi posiadać oświetlenie LED</w:t>
            </w:r>
            <w:r w:rsidR="00E025A1">
              <w:t>. Rozmiar skrzyni do uzgodnienia z Zamawiającym na etapie produkcji.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Powierzchnie platform, podestu roboczego i podłogi kabiny w wykonaniu antypoślizgowym</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Pojazd powinien posiadać oświetlenie pola LED pracy wokół samochodu zapewniające oświetlenie w warunkach słabej widoczności oraz oświetlenie powierzchni dachu roboczego (min. 3 lampy na każdą stronę + 1 z tyłu)</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Szuflady, podesty i wysuwane tace muszą się automatycznie blokować w pozycji zamkniętej i całkowicie otwartej oraz posiadać zabezpieczenie przed całkowitym wyciągnięciem (wypadnięcie z prowadnic).</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Szuflady, podesty i tace oraz inne elementy pojazdu wystające w pozycji otwartej powyżej 250 mm poza obrys pojazdu muszą posiadać oznakowanie ostrzegawcze.</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 xml:space="preserve">Dodatkowo pojazd wyposażony w min. </w:t>
            </w:r>
            <w:r w:rsidR="00E025A1">
              <w:t xml:space="preserve">2 szt. wysuwanych szuflad na </w:t>
            </w:r>
            <w:r>
              <w:t>cięższy sprzęt. Miejsce montażu do uzgodnienia na etapie produkcji pojazdu</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4930" w:type="dxa"/>
          </w:tcPr>
          <w:p w:rsidR="00CB08A0" w:rsidRDefault="00CB08A0"/>
        </w:tc>
      </w:tr>
      <w:tr w:rsidR="00CB08A0" w:rsidTr="005B1200">
        <w:tc>
          <w:tcPr>
            <w:tcW w:w="704" w:type="dxa"/>
          </w:tcPr>
          <w:p w:rsidR="00CB08A0" w:rsidRDefault="00CB08A0" w:rsidP="00594D88">
            <w:pPr>
              <w:pStyle w:val="Akapitzlist"/>
              <w:numPr>
                <w:ilvl w:val="1"/>
                <w:numId w:val="1"/>
              </w:numPr>
              <w:ind w:left="447"/>
            </w:pPr>
          </w:p>
        </w:tc>
        <w:tc>
          <w:tcPr>
            <w:tcW w:w="8820" w:type="dxa"/>
          </w:tcPr>
          <w:p w:rsidR="00CB08A0" w:rsidRDefault="00CB08A0">
            <w:r>
              <w:t>Konstrukcja skrytek musi zapewniać odprowadzenie wody z ich wnętrza.</w:t>
            </w:r>
          </w:p>
        </w:tc>
        <w:tc>
          <w:tcPr>
            <w:tcW w:w="4930" w:type="dxa"/>
          </w:tcPr>
          <w:p w:rsidR="00CB08A0" w:rsidRDefault="00CB08A0"/>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Zbiornik wody o pojemności </w:t>
            </w:r>
            <w:r w:rsidRPr="00203591">
              <w:rPr>
                <w:b/>
              </w:rPr>
              <w:t>minimum 2</w:t>
            </w:r>
            <w:r>
              <w:rPr>
                <w:b/>
              </w:rPr>
              <w:t xml:space="preserve"> </w:t>
            </w:r>
            <w:r w:rsidRPr="00203591">
              <w:rPr>
                <w:b/>
              </w:rPr>
              <w:t>500 litrów</w:t>
            </w:r>
            <w:r>
              <w:t xml:space="preserve">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p>
        </w:tc>
        <w:tc>
          <w:tcPr>
            <w:tcW w:w="4930" w:type="dxa"/>
          </w:tcPr>
          <w:p w:rsidR="00203591" w:rsidRDefault="00203591" w:rsidP="00203591">
            <w:pPr>
              <w:snapToGrid w:val="0"/>
              <w:jc w:val="both"/>
              <w:rPr>
                <w:rFonts w:ascii="Calibri" w:hAnsi="Calibri" w:cs="Calibri"/>
                <w:b/>
                <w:bCs/>
                <w:sz w:val="20"/>
                <w:szCs w:val="20"/>
              </w:rPr>
            </w:pPr>
            <w:r>
              <w:rPr>
                <w:rFonts w:ascii="Calibri" w:hAnsi="Calibri" w:cs="Calibri"/>
                <w:b/>
                <w:bCs/>
                <w:sz w:val="20"/>
                <w:szCs w:val="20"/>
              </w:rPr>
              <w:t xml:space="preserve">1) </w:t>
            </w:r>
            <w:r>
              <w:rPr>
                <w:b/>
              </w:rPr>
              <w:t>Parametry techniczne (</w:t>
            </w:r>
            <w:r w:rsidRPr="00203591">
              <w:rPr>
                <w:b/>
                <w:u w:val="single"/>
              </w:rPr>
              <w:t>pojemność zbiornika na wodę</w:t>
            </w:r>
            <w:r>
              <w:rPr>
                <w:b/>
              </w:rPr>
              <w:t>)</w:t>
            </w:r>
            <w:r>
              <w:rPr>
                <w:rFonts w:eastAsia="TimesNewRomanPS-BoldMT"/>
                <w:b/>
              </w:rPr>
              <w:t xml:space="preserve"> </w:t>
            </w:r>
            <w:r>
              <w:rPr>
                <w:rFonts w:ascii="Calibri" w:hAnsi="Calibri" w:cs="Calibri"/>
                <w:b/>
                <w:bCs/>
                <w:sz w:val="20"/>
                <w:szCs w:val="20"/>
              </w:rPr>
              <w:t>należy wskazać w wyznaczonym miejscu Formularza oferty.</w:t>
            </w:r>
          </w:p>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Zbiornik środka pianotwórczego o pojemności min. 10% pojemności zbiornika wody.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rsidRPr="0073776A">
              <w:t>Autopompa zlokalizowana z tyłu pojazdu w obudowanym przedziale, zamykanym drzwiami żaluzjowymi.</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Autopompa pożarnicza dwuzakresowa o wydajności </w:t>
            </w:r>
            <w:r w:rsidRPr="00F47C66">
              <w:rPr>
                <w:b/>
              </w:rPr>
              <w:t>min. 2</w:t>
            </w:r>
            <w:r w:rsidR="00F47C66" w:rsidRPr="00F47C66">
              <w:rPr>
                <w:b/>
              </w:rPr>
              <w:t>5</w:t>
            </w:r>
            <w:r w:rsidRPr="00F47C66">
              <w:rPr>
                <w:b/>
              </w:rPr>
              <w:t>00 dm3 /min przy ciśnieniu 0,8 MPa</w:t>
            </w:r>
            <w:r>
              <w:t xml:space="preserve"> i głębokości ssania 1,5 m oraz dla wysokiego ciśnienia min. 400 dm3 /min przy ciśnieniu 4 MPa.</w:t>
            </w:r>
          </w:p>
        </w:tc>
        <w:tc>
          <w:tcPr>
            <w:tcW w:w="4930" w:type="dxa"/>
          </w:tcPr>
          <w:p w:rsidR="00F47C66" w:rsidRDefault="00F47C66" w:rsidP="00F47C66">
            <w:pPr>
              <w:snapToGrid w:val="0"/>
              <w:jc w:val="both"/>
              <w:rPr>
                <w:rFonts w:ascii="Calibri" w:hAnsi="Calibri" w:cs="Calibri"/>
                <w:b/>
                <w:bCs/>
                <w:sz w:val="20"/>
                <w:szCs w:val="20"/>
              </w:rPr>
            </w:pPr>
            <w:r>
              <w:rPr>
                <w:rFonts w:ascii="Calibri" w:hAnsi="Calibri" w:cs="Calibri"/>
                <w:b/>
                <w:bCs/>
                <w:sz w:val="20"/>
                <w:szCs w:val="20"/>
              </w:rPr>
              <w:t xml:space="preserve">1) </w:t>
            </w:r>
            <w:r>
              <w:rPr>
                <w:rFonts w:eastAsia="TimesNewRomanPSMT"/>
                <w:b/>
              </w:rPr>
              <w:t>Parametry techniczne (</w:t>
            </w:r>
            <w:r w:rsidRPr="00F47C66">
              <w:rPr>
                <w:rFonts w:eastAsia="TimesNewRomanPSMT"/>
                <w:b/>
                <w:u w:val="single"/>
              </w:rPr>
              <w:t>wydajność autopompy</w:t>
            </w:r>
            <w:r>
              <w:rPr>
                <w:rFonts w:eastAsia="TimesNewRomanPSMT"/>
                <w:b/>
              </w:rPr>
              <w:t>)</w:t>
            </w:r>
            <w:r>
              <w:rPr>
                <w:rFonts w:eastAsia="TimesNewRomanPS-BoldMT"/>
                <w:b/>
              </w:rPr>
              <w:t xml:space="preserve"> </w:t>
            </w:r>
            <w:r>
              <w:rPr>
                <w:rFonts w:ascii="Calibri" w:hAnsi="Calibri" w:cs="Calibri"/>
                <w:b/>
                <w:bCs/>
                <w:sz w:val="20"/>
                <w:szCs w:val="20"/>
              </w:rPr>
              <w:t>należy wskazać w wyznaczonym miejscu Formularza oferty.</w:t>
            </w:r>
          </w:p>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Pojazd wyposażony w działko wodno- </w:t>
            </w:r>
            <w:r w:rsidRPr="0073776A">
              <w:t>pianowe klasy min. DWP16 o regulowanej</w:t>
            </w:r>
            <w:r>
              <w:t xml:space="preserve"> wydajności, podnoszone hydraulicznie na czas pracy. Działko wysuwane do pozycji roboczej, tak aby w pozycji transportowej nie zwiększało maksymalnej wysokości pojazdu. Zakres obrotu działka w płaszczyźnie poziomej wynoszący 360°, a w płaszczyźnie pionowej – od kąta ujemnego limitowanego obrysem pojazdu do co najmniej 75°. Z pozycji obsługującego działko musi istnieć możliwość włączania zaworu działka oraz regulacji obrotów pompy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Układ wodno- pianowy zabudowany w taki sposób aby parametry autopompy przy zasilaniu ze zbiornika samochodu były nie mniejsze niż przy zasilaniu ze zbiornika zewnętrznego dla </w:t>
            </w:r>
            <w:r>
              <w:lastRenderedPageBreak/>
              <w:t>głębokości ssania 1,5 m. Wszystkie nasady układu wodno-pianowego powinny być wyposażone w pokrywy nasad zabezpieczone przed zgubieniem, np. poprzez mocowanie łańcuszkiem.</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Samochód musi być wyposażony w linię szybkiego natarcia o długości węża minimum 60 m na zwijadle, zakończoną prądownicą wodnopianową o regulowanej wydajności, do podawania środków gaśniczych prądem zwartym i rozproszonym.</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Linia szybkiego natarcia musi umożliwiać podawanie wody lub piany bez względu na stopień rozwinięcia węża. Dodatkowo musi istnieć możliwość przedmuchu zwijadła za pomocą sprężonego powietrza.</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Autopompa musi umożliwiać podanie wody i wodnego roztworu środka pianotwórczego do minimum:</w:t>
            </w:r>
          </w:p>
          <w:p w:rsidR="00203591" w:rsidRDefault="00203591" w:rsidP="00203591">
            <w:r>
              <w:t>- czterech nasad tłocznych 75,</w:t>
            </w:r>
          </w:p>
          <w:p w:rsidR="00203591" w:rsidRDefault="00203591" w:rsidP="00203591">
            <w:r>
              <w:t>- wysokociśnieniowej linii szybkiego natarcia,</w:t>
            </w:r>
          </w:p>
          <w:p w:rsidR="00203591" w:rsidRDefault="00203591" w:rsidP="00203591">
            <w:r>
              <w:t>- działka wodno- pianowego,</w:t>
            </w:r>
          </w:p>
          <w:p w:rsidR="00203591" w:rsidRDefault="00203591" w:rsidP="00203591">
            <w:r>
              <w:t>- instalacji zraszaczowej</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Autopompa musi umożliwiać podanie wody do zbiornika samochodu.</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Autopompa musi być wyposażona w urządzenie odpowietrzające umożliwiające zassanie wody: - z głębokości 1,5 m w czasie do 30 s.</w:t>
            </w:r>
          </w:p>
          <w:p w:rsidR="00203591" w:rsidRDefault="00203591" w:rsidP="00203591">
            <w:r>
              <w:t>- z głębokości 7,5 m w czasie do 60 s</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Na pulpicie sterowniczym pompy zainstalowanym w przedziale autopompy muszą znajdować się co najmniej następujące urządzenia kontrolno- sterownicze:</w:t>
            </w:r>
          </w:p>
          <w:p w:rsidR="00203591" w:rsidRDefault="00203591" w:rsidP="00203591">
            <w:r>
              <w:t>- urządzenia kontrolno- pomiarowe pompy, w tym min. manometr, manowakuometr,</w:t>
            </w:r>
          </w:p>
          <w:p w:rsidR="00203591" w:rsidRDefault="00203591" w:rsidP="00203591">
            <w:r>
              <w:t>- wyłącznik awaryjny silnika pojazdu,</w:t>
            </w:r>
          </w:p>
          <w:p w:rsidR="00203591" w:rsidRDefault="00203591" w:rsidP="00203591">
            <w:r>
              <w:t>- wskaźnik poziomu wody w zbiorniku samochodu,</w:t>
            </w:r>
          </w:p>
          <w:p w:rsidR="00203591" w:rsidRDefault="00203591" w:rsidP="00203591">
            <w:r>
              <w:t>- wskaźnik poziomu środka pianotwórczego w zbiorniku,</w:t>
            </w:r>
          </w:p>
          <w:p w:rsidR="00203591" w:rsidRDefault="00203591" w:rsidP="00203591">
            <w:r>
              <w:t>- wskaźnik lub kontrolka temperatury cieczy chłodzącej silnik lub wskaźnik awarii silnika,</w:t>
            </w:r>
          </w:p>
          <w:p w:rsidR="00203591" w:rsidRDefault="00203591" w:rsidP="00203591">
            <w:r>
              <w:t xml:space="preserve">- regulator prędkości obrotowej silnika napędzającego pompę. </w:t>
            </w:r>
          </w:p>
          <w:p w:rsidR="00203591" w:rsidRDefault="00203591" w:rsidP="00203591">
            <w:r>
              <w:t xml:space="preserve">Ponadto na stanowisku obsługi musi znajdować się schemat układu wodno- pianowego oraz oznaczenie zaworów. 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w:t>
            </w:r>
            <w:r>
              <w:lastRenderedPageBreak/>
              <w:t>odwadniających, powinny być łatwo dostępne, a ich obsługa powinna być możliwa bez wchodzenia pod samochód.</w:t>
            </w:r>
          </w:p>
          <w:p w:rsidR="00203591" w:rsidRDefault="00203591" w:rsidP="00203591">
            <w:r>
              <w:t>W kabinie kierowcy powinny znajdować się następujące urządzenia kontrolno-pomiarowe:</w:t>
            </w:r>
          </w:p>
          <w:p w:rsidR="00203591" w:rsidRDefault="00203591" w:rsidP="00203591">
            <w:r>
              <w:t>- wskaźnik niskiego ciśnienia</w:t>
            </w:r>
          </w:p>
          <w:p w:rsidR="00203591" w:rsidRDefault="00203591" w:rsidP="00203591">
            <w:r>
              <w:t>- wskaźnik poziomu wody w zbiorniku,</w:t>
            </w:r>
          </w:p>
          <w:p w:rsidR="00203591" w:rsidRDefault="00203591" w:rsidP="00203591">
            <w:r>
              <w:t>- wskaźnik poziomu środka pianotwórczego</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Zbiornik wody musi być wyposażony w nasadę 75 zabezpieczoną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Układ wodno- pianowy wyposażony w ręczny lub automatyczny dozownik środka pianotwórczego zapewniający uzyskiwanie stężeń 3% i 6% (tolerancja ± 0,5%) w pełnym zakresie wydajności pompy.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Wszystkie elementy układu wodno- pianowego muszą być odporne na korozję i działanie dopuszczonych do stosowania środków pianotwórczych i modyfikatorów. Nasady tłoczne i ssawne powinny być zabezpieczone przed zamarzaniem</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Konstrukcja układu wodno- pianowego powinna umożliwić jego całkowite odwodnienie przy użyciu co najmniej dwóch zaworów</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Przedział autopompy musi być wyposażony w autonomiczny system ogrzewania działający niezależnie od pracy silnika, skutecznie zabezpieczający układ wodno-pianowy przed zamarzaniem w temperaturze do „- 25ºC”. 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Pojazd wyposażony w min. 4 zraszacze o wydajności 50-100 dm3 / min przy 30 ciś. 8 bar, zasilane autopompą. Dwa zraszacze zamontowane przed przednią osią, kolejne dwa po bokach </w:t>
            </w:r>
            <w:r>
              <w:lastRenderedPageBreak/>
              <w:t>pojazdu. Ponadto instalacja powinna być wyposażona w zawory odcinające, uruchamiane z kabiny kierowcy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 xml:space="preserve">Samochód wyposażony w sterowany za pomocą pilota przewodowego pneumatyczny maszt oświetleniowy o łącznej wielkości strumienia świetlnego min. 30.000 lm. Najaśnice LED. Stopień ochrony masztu i </w:t>
            </w:r>
            <w:r w:rsidRPr="0073776A">
              <w:t>reflektorów min. IP 55. Wysokość</w:t>
            </w:r>
            <w:r>
              <w:t xml:space="preserve"> masztu po rozłożeniu od podłoża, na którym stoi pojazd, do oprawy czołowej reflektorów ustawionych poziomo nie mniejsza niż 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135º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Pojazd wyposażony w wyciągarkę o napędzie elektrycznym zamontowaną z przodu pojazdu o uciągu min. 8000 kg, z liną długości min. 25m. Wyciągarka wyposażona w układ sterowania, rolkową prowadnicę liny.</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1"/>
                <w:numId w:val="1"/>
              </w:numPr>
              <w:ind w:left="447"/>
            </w:pPr>
          </w:p>
        </w:tc>
        <w:tc>
          <w:tcPr>
            <w:tcW w:w="8820" w:type="dxa"/>
          </w:tcPr>
          <w:p w:rsidR="00203591" w:rsidRDefault="00203591" w:rsidP="00203591">
            <w:r>
              <w:t>W pojeździe zapewnione miejsce do przewozu oraz wykonane i zamontowane uchwyty do zamocowania wyposażenia dla przyszłego użytkownika pojazdu.</w:t>
            </w:r>
          </w:p>
        </w:tc>
        <w:tc>
          <w:tcPr>
            <w:tcW w:w="4930" w:type="dxa"/>
          </w:tcPr>
          <w:p w:rsidR="00203591" w:rsidRDefault="00203591" w:rsidP="00203591"/>
        </w:tc>
      </w:tr>
      <w:tr w:rsidR="00203591" w:rsidTr="005B1200">
        <w:tc>
          <w:tcPr>
            <w:tcW w:w="704" w:type="dxa"/>
          </w:tcPr>
          <w:p w:rsidR="00203591" w:rsidRDefault="00203591" w:rsidP="00203591">
            <w:pPr>
              <w:pStyle w:val="Akapitzlist"/>
              <w:numPr>
                <w:ilvl w:val="0"/>
                <w:numId w:val="1"/>
              </w:numPr>
            </w:pPr>
          </w:p>
        </w:tc>
        <w:tc>
          <w:tcPr>
            <w:tcW w:w="8820" w:type="dxa"/>
          </w:tcPr>
          <w:p w:rsidR="00203591" w:rsidRDefault="00203591" w:rsidP="00203591">
            <w:r>
              <w:t>Pojazd musi być oznakowany zgodnie z Zarządzeniem Nr 13 Komendanta Głównego Państwowej Straży Pożarnej w sprawie gospodarki transportowej w jednostkach organizacyjnych Państwowej Straży Pożarnej</w:t>
            </w:r>
          </w:p>
        </w:tc>
        <w:tc>
          <w:tcPr>
            <w:tcW w:w="4930" w:type="dxa"/>
          </w:tcPr>
          <w:p w:rsidR="00203591" w:rsidRDefault="00203591" w:rsidP="00203591"/>
        </w:tc>
      </w:tr>
      <w:bookmarkEnd w:id="0"/>
    </w:tbl>
    <w:p w:rsidR="00985D6C" w:rsidRDefault="00985D6C" w:rsidP="00985D6C">
      <w:pPr>
        <w:tabs>
          <w:tab w:val="left" w:pos="284"/>
        </w:tabs>
        <w:spacing w:line="256" w:lineRule="auto"/>
        <w:jc w:val="both"/>
      </w:pPr>
    </w:p>
    <w:p w:rsidR="00985D6C" w:rsidRDefault="00985D6C" w:rsidP="00985D6C">
      <w:pPr>
        <w:tabs>
          <w:tab w:val="left" w:pos="284"/>
        </w:tabs>
        <w:spacing w:line="256" w:lineRule="auto"/>
        <w:jc w:val="both"/>
        <w:rPr>
          <w:rStyle w:val="FontStyle47"/>
          <w:rFonts w:ascii="Times New Roman" w:hAnsi="Times New Roman" w:cs="Times New Roman"/>
          <w:color w:val="000000"/>
          <w:sz w:val="22"/>
          <w:szCs w:val="22"/>
        </w:rPr>
      </w:pPr>
      <w:r w:rsidRPr="00985D6C">
        <w:rPr>
          <w:rFonts w:ascii="Times New Roman" w:hAnsi="Times New Roman"/>
        </w:rPr>
        <w:t>J</w:t>
      </w:r>
      <w:r w:rsidRPr="00985D6C">
        <w:rPr>
          <w:rFonts w:ascii="Times New Roman" w:hAnsi="Times New Roman"/>
          <w:color w:val="000000"/>
        </w:rPr>
        <w:t>eżeli w</w:t>
      </w:r>
      <w:r w:rsidRPr="00985D6C">
        <w:rPr>
          <w:rFonts w:ascii="Times New Roman" w:eastAsia="Times New Roman" w:hAnsi="Times New Roman"/>
          <w:color w:val="000000"/>
        </w:rPr>
        <w:t xml:space="preserve"> d</w:t>
      </w:r>
      <w:r w:rsidRPr="00985D6C">
        <w:rPr>
          <w:rFonts w:ascii="Times New Roman" w:hAnsi="Times New Roman"/>
          <w:color w:val="000000"/>
        </w:rPr>
        <w:t xml:space="preserve">okumentacji przetargowej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30 ust. 1 pkt 2 lub ust. 3 ustawy, Zamawiający zgodnie z art. 29 ust. 3 ustawy dopuszcza złożenie oferty równoważnej lub zgodnie z art. 30 ust. 4 ustawy zaoferowanie rozwiązań „równoważnych” w stosunku do wskazanych w dokumentacji przetargowej pod warunkiem, że zapewnią uzyskanie parametrów technicznych nie gorszych od założonych w/w dokumentacji przetargowej. </w:t>
      </w:r>
      <w:r w:rsidRPr="00985D6C">
        <w:rPr>
          <w:rStyle w:val="FontStyle47"/>
          <w:rFonts w:ascii="Times New Roman" w:hAnsi="Times New Roman" w:cs="Times New Roman"/>
          <w:color w:val="000000"/>
          <w:sz w:val="22"/>
          <w:szCs w:val="22"/>
        </w:rPr>
        <w:t xml:space="preserve">Materiały lub urządzenia pochodzące od konkretnych producentów określają </w:t>
      </w:r>
      <w:r w:rsidRPr="00985D6C">
        <w:rPr>
          <w:rStyle w:val="FontStyle47"/>
          <w:rFonts w:ascii="Times New Roman" w:hAnsi="Times New Roman" w:cs="Times New Roman"/>
          <w:b/>
          <w:color w:val="000000"/>
          <w:sz w:val="22"/>
          <w:szCs w:val="22"/>
        </w:rPr>
        <w:t>minimalne parametry jakościowe i cechy użytkowe</w:t>
      </w:r>
      <w:r w:rsidRPr="00985D6C">
        <w:rPr>
          <w:rStyle w:val="FontStyle47"/>
          <w:rFonts w:ascii="Times New Roman" w:hAnsi="Times New Roman" w:cs="Times New Roman"/>
          <w:color w:val="000000"/>
          <w:sz w:val="22"/>
          <w:szCs w:val="22"/>
        </w:rPr>
        <w:t xml:space="preserve">, jakim muszą odpowiadać materiały lub urządzenia oferowane przez Wykonawcę, aby zostały spełnione wymagania stawiane przez Zamawiającego. Materiały lub urządzenia pochodzące od konkretnych producentów </w:t>
      </w:r>
      <w:r w:rsidRPr="00985D6C">
        <w:rPr>
          <w:rStyle w:val="FontStyle47"/>
          <w:rFonts w:ascii="Times New Roman" w:hAnsi="Times New Roman" w:cs="Times New Roman"/>
          <w:b/>
          <w:color w:val="000000"/>
          <w:sz w:val="22"/>
          <w:szCs w:val="22"/>
        </w:rPr>
        <w:t>stanowią wyłącznie wzorzec jakościowy przedmiotu zamówienia</w:t>
      </w:r>
      <w:r w:rsidRPr="00985D6C">
        <w:rPr>
          <w:rStyle w:val="FontStyle47"/>
          <w:rFonts w:ascii="Times New Roman" w:hAnsi="Times New Roman" w:cs="Times New Roman"/>
          <w:color w:val="000000"/>
          <w:sz w:val="22"/>
          <w:szCs w:val="22"/>
        </w:rPr>
        <w:t xml:space="preserve">. </w:t>
      </w:r>
    </w:p>
    <w:p w:rsidR="00985D6C" w:rsidRPr="00985D6C" w:rsidRDefault="00985D6C" w:rsidP="00985D6C">
      <w:pPr>
        <w:tabs>
          <w:tab w:val="left" w:pos="284"/>
        </w:tabs>
        <w:spacing w:line="256" w:lineRule="auto"/>
        <w:jc w:val="both"/>
        <w:rPr>
          <w:rFonts w:ascii="Times New Roman" w:hAnsi="Times New Roman"/>
        </w:rPr>
      </w:pPr>
      <w:r w:rsidRPr="00985D6C">
        <w:rPr>
          <w:rStyle w:val="FontStyle47"/>
          <w:rFonts w:ascii="Times New Roman" w:hAnsi="Times New Roman" w:cs="Times New Roman"/>
          <w:color w:val="000000"/>
          <w:sz w:val="22"/>
          <w:szCs w:val="22"/>
        </w:rPr>
        <w:lastRenderedPageBreak/>
        <w:t xml:space="preserve">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85D6C">
        <w:rPr>
          <w:rStyle w:val="Pogrubienie"/>
          <w:rFonts w:ascii="Times New Roman" w:hAnsi="Times New Roman"/>
          <w:color w:val="000000"/>
        </w:rPr>
        <w:t>Zamawiający</w:t>
      </w:r>
      <w:r w:rsidRPr="00985D6C">
        <w:rPr>
          <w:rStyle w:val="FontStyle47"/>
          <w:rFonts w:ascii="Times New Roman" w:hAnsi="Times New Roman" w:cs="Times New Roman"/>
          <w:color w:val="000000"/>
          <w:sz w:val="22"/>
          <w:szCs w:val="22"/>
        </w:rPr>
        <w:t>,</w:t>
      </w:r>
      <w:r w:rsidRPr="00985D6C">
        <w:rPr>
          <w:rStyle w:val="FontStyle47"/>
          <w:rFonts w:ascii="Times New Roman" w:hAnsi="Times New Roman" w:cs="Times New Roman"/>
          <w:b/>
          <w:color w:val="000000"/>
          <w:sz w:val="22"/>
          <w:szCs w:val="22"/>
        </w:rPr>
        <w:t xml:space="preserve"> wskazując oznaczenie konkretnego producenta (dostawcy) lub konkretny produkt przy opisie przedmiotu zamówienia, </w:t>
      </w:r>
      <w:r w:rsidRPr="00985D6C">
        <w:rPr>
          <w:rStyle w:val="Pogrubienie"/>
          <w:rFonts w:ascii="Times New Roman" w:hAnsi="Times New Roman"/>
          <w:color w:val="000000"/>
        </w:rPr>
        <w:t xml:space="preserve">dopuszcza jednocześnie produkty równoważne o parametrach jakościowych i cechach użytkowych co  najmniej na poziomie parametrów wskazanego produktu, uznając tym samym każdy produkt o wskazanych lub lepszych parametrach, </w:t>
      </w:r>
      <w:r w:rsidRPr="00985D6C">
        <w:rPr>
          <w:rFonts w:ascii="Times New Roman" w:hAnsi="Times New Roman"/>
          <w:color w:val="000000"/>
        </w:rPr>
        <w:t>g</w:t>
      </w:r>
      <w:r w:rsidRPr="00985D6C">
        <w:rPr>
          <w:rFonts w:ascii="Times New Roman" w:hAnsi="Times New Roman"/>
          <w:b/>
          <w:color w:val="000000"/>
        </w:rPr>
        <w:t>dy będą zgodne m.in. pod względem:</w:t>
      </w:r>
    </w:p>
    <w:p w:rsidR="00985D6C" w:rsidRPr="00985D6C" w:rsidRDefault="00985D6C" w:rsidP="00985D6C">
      <w:pPr>
        <w:numPr>
          <w:ilvl w:val="1"/>
          <w:numId w:val="6"/>
        </w:numPr>
        <w:spacing w:line="240" w:lineRule="auto"/>
        <w:ind w:left="567" w:hanging="283"/>
        <w:jc w:val="both"/>
        <w:rPr>
          <w:rFonts w:ascii="Times New Roman" w:hAnsi="Times New Roman"/>
          <w:color w:val="000000"/>
        </w:rPr>
      </w:pPr>
      <w:r w:rsidRPr="00985D6C">
        <w:rPr>
          <w:rFonts w:ascii="Times New Roman" w:hAnsi="Times New Roman"/>
          <w:color w:val="000000"/>
        </w:rPr>
        <w:t>gabarytów i konstrukcji (wielkość, rodzaj, właściwości fizyczne, liczby elementów składowych, itp.),</w:t>
      </w:r>
    </w:p>
    <w:p w:rsidR="00985D6C" w:rsidRPr="00985D6C" w:rsidRDefault="00985D6C" w:rsidP="00985D6C">
      <w:pPr>
        <w:numPr>
          <w:ilvl w:val="1"/>
          <w:numId w:val="6"/>
        </w:numPr>
        <w:spacing w:line="276" w:lineRule="auto"/>
        <w:ind w:left="567" w:hanging="283"/>
        <w:jc w:val="both"/>
        <w:rPr>
          <w:rFonts w:ascii="Times New Roman" w:hAnsi="Times New Roman"/>
          <w:color w:val="000000"/>
        </w:rPr>
      </w:pPr>
      <w:r w:rsidRPr="00985D6C">
        <w:rPr>
          <w:rFonts w:ascii="Times New Roman" w:hAnsi="Times New Roman"/>
          <w:color w:val="000000"/>
        </w:rPr>
        <w:t>charakteru użytkowego (tożsamość funkcji, itp.),</w:t>
      </w:r>
    </w:p>
    <w:p w:rsidR="00985D6C" w:rsidRPr="00985D6C" w:rsidRDefault="00985D6C" w:rsidP="00985D6C">
      <w:pPr>
        <w:numPr>
          <w:ilvl w:val="1"/>
          <w:numId w:val="6"/>
        </w:numPr>
        <w:spacing w:line="276" w:lineRule="auto"/>
        <w:ind w:left="567" w:hanging="283"/>
        <w:jc w:val="both"/>
        <w:rPr>
          <w:rFonts w:ascii="Times New Roman" w:hAnsi="Times New Roman"/>
          <w:color w:val="000000"/>
        </w:rPr>
      </w:pPr>
      <w:r w:rsidRPr="00985D6C">
        <w:rPr>
          <w:rFonts w:ascii="Times New Roman" w:hAnsi="Times New Roman"/>
          <w:color w:val="000000"/>
        </w:rPr>
        <w:t>charakterystyki materiałowej (rodzaj i jakość materiałów, itp.),</w:t>
      </w:r>
    </w:p>
    <w:p w:rsidR="00985D6C" w:rsidRPr="00985D6C" w:rsidRDefault="00985D6C" w:rsidP="00985D6C">
      <w:pPr>
        <w:numPr>
          <w:ilvl w:val="1"/>
          <w:numId w:val="6"/>
        </w:numPr>
        <w:spacing w:line="276" w:lineRule="auto"/>
        <w:ind w:left="567" w:hanging="283"/>
        <w:jc w:val="both"/>
        <w:rPr>
          <w:rFonts w:ascii="Times New Roman" w:hAnsi="Times New Roman"/>
          <w:color w:val="000000"/>
        </w:rPr>
      </w:pPr>
      <w:r w:rsidRPr="00985D6C">
        <w:rPr>
          <w:rFonts w:ascii="Times New Roman" w:hAnsi="Times New Roman"/>
          <w:color w:val="000000"/>
        </w:rPr>
        <w:t>parametrów technicznych (wytrzymałość, trwałość, dane techniczne, itp.),</w:t>
      </w:r>
    </w:p>
    <w:p w:rsidR="00985D6C" w:rsidRPr="00985D6C" w:rsidRDefault="00985D6C" w:rsidP="00985D6C">
      <w:pPr>
        <w:numPr>
          <w:ilvl w:val="1"/>
          <w:numId w:val="6"/>
        </w:numPr>
        <w:snapToGrid w:val="0"/>
        <w:spacing w:line="276" w:lineRule="auto"/>
        <w:ind w:left="567" w:hanging="283"/>
        <w:jc w:val="both"/>
        <w:rPr>
          <w:rFonts w:ascii="Times New Roman" w:hAnsi="Times New Roman"/>
          <w:b/>
          <w:bCs/>
          <w:color w:val="000000"/>
        </w:rPr>
      </w:pPr>
      <w:r w:rsidRPr="00985D6C">
        <w:rPr>
          <w:rFonts w:ascii="Times New Roman" w:hAnsi="Times New Roman"/>
          <w:color w:val="000000"/>
        </w:rPr>
        <w:t>parametrów bezpieczeństwa użytkowania,</w:t>
      </w:r>
    </w:p>
    <w:p w:rsidR="00985D6C" w:rsidRPr="00985D6C" w:rsidRDefault="00985D6C" w:rsidP="00985D6C">
      <w:pPr>
        <w:numPr>
          <w:ilvl w:val="1"/>
          <w:numId w:val="6"/>
        </w:numPr>
        <w:snapToGrid w:val="0"/>
        <w:spacing w:line="276" w:lineRule="auto"/>
        <w:ind w:left="567" w:hanging="283"/>
        <w:jc w:val="both"/>
        <w:rPr>
          <w:rStyle w:val="Pogrubienie"/>
          <w:rFonts w:ascii="Times New Roman" w:hAnsi="Times New Roman"/>
          <w:color w:val="000000"/>
        </w:rPr>
      </w:pPr>
      <w:r w:rsidRPr="00985D6C">
        <w:rPr>
          <w:rFonts w:ascii="Times New Roman" w:hAnsi="Times New Roman"/>
          <w:color w:val="000000"/>
        </w:rPr>
        <w:t>standardów emisyjnych.</w:t>
      </w:r>
    </w:p>
    <w:p w:rsidR="00985D6C" w:rsidRPr="00985D6C" w:rsidRDefault="00985D6C" w:rsidP="00985D6C">
      <w:pPr>
        <w:spacing w:line="240" w:lineRule="auto"/>
        <w:jc w:val="both"/>
        <w:rPr>
          <w:rFonts w:ascii="Times New Roman" w:hAnsi="Times New Roman"/>
          <w:b/>
        </w:rPr>
      </w:pPr>
      <w:r w:rsidRPr="00985D6C">
        <w:rPr>
          <w:rFonts w:ascii="Times New Roman" w:hAnsi="Times New Roman"/>
        </w:rPr>
        <w:t xml:space="preserve">Urządzenia równoważne muszą być w ofercie wymienione z nazwy, a ciężar udowodnienia zachowania parametrów wymaganych przez Zamawiającego, </w:t>
      </w:r>
      <w:r w:rsidRPr="00985D6C">
        <w:rPr>
          <w:rFonts w:ascii="Times New Roman" w:hAnsi="Times New Roman"/>
        </w:rPr>
        <w:br/>
        <w:t xml:space="preserve">w razie wątpliwości leży po stronie składającego ofertę. </w:t>
      </w:r>
      <w:r w:rsidRPr="00985D6C">
        <w:rPr>
          <w:rFonts w:ascii="Times New Roman" w:hAnsi="Times New Roman"/>
          <w:b/>
        </w:rPr>
        <w:t xml:space="preserve">Zamawiający zweryfikuje równoważność parametrów oferowanych urządzeń i sprzętu wskazanych w ofercie Wykonawcy w oparciu o parametry urządzeń i sprzętu wskazane w niniejszym załączniku. </w:t>
      </w:r>
    </w:p>
    <w:p w:rsidR="00AB2805" w:rsidRDefault="00AB2805"/>
    <w:sectPr w:rsidR="00AB2805" w:rsidSect="004B325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00" w:rsidRDefault="005B1200" w:rsidP="005B1200">
      <w:pPr>
        <w:spacing w:after="0" w:line="240" w:lineRule="auto"/>
      </w:pPr>
      <w:r>
        <w:separator/>
      </w:r>
    </w:p>
  </w:endnote>
  <w:endnote w:type="continuationSeparator" w:id="0">
    <w:p w:rsidR="005B1200" w:rsidRDefault="005B1200" w:rsidP="005B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00" w:rsidRDefault="005B1200" w:rsidP="005B1200">
      <w:pPr>
        <w:spacing w:after="0" w:line="240" w:lineRule="auto"/>
      </w:pPr>
      <w:r>
        <w:separator/>
      </w:r>
    </w:p>
  </w:footnote>
  <w:footnote w:type="continuationSeparator" w:id="0">
    <w:p w:rsidR="005B1200" w:rsidRDefault="005B1200" w:rsidP="005B1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1D0"/>
    <w:multiLevelType w:val="hybridMultilevel"/>
    <w:tmpl w:val="3BB2A8B2"/>
    <w:lvl w:ilvl="0" w:tplc="94724944">
      <w:start w:val="1"/>
      <w:numFmt w:val="decimal"/>
      <w:lvlText w:val="%1)"/>
      <w:lvlJc w:val="left"/>
      <w:pPr>
        <w:ind w:left="720" w:hanging="360"/>
      </w:pPr>
      <w:rPr>
        <w:rFonts w:eastAsia="TimesNewRomanPSM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20466E"/>
    <w:multiLevelType w:val="hybridMultilevel"/>
    <w:tmpl w:val="487AC17C"/>
    <w:lvl w:ilvl="0" w:tplc="7BE09DDA">
      <w:start w:val="1"/>
      <w:numFmt w:val="decimal"/>
      <w:lvlText w:val="%1)"/>
      <w:lvlJc w:val="left"/>
      <w:pPr>
        <w:ind w:left="720" w:hanging="360"/>
      </w:pPr>
      <w:rPr>
        <w:rFonts w:ascii="Calibri" w:hAnsi="Calibri" w:cs="Calibri" w:hint="default"/>
        <w:b/>
        <w:sz w:val="2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9F7276"/>
    <w:multiLevelType w:val="hybridMultilevel"/>
    <w:tmpl w:val="09C661A6"/>
    <w:lvl w:ilvl="0" w:tplc="6730F8B0">
      <w:start w:val="1"/>
      <w:numFmt w:val="decimal"/>
      <w:lvlText w:val="%1)"/>
      <w:lvlJc w:val="left"/>
      <w:pPr>
        <w:ind w:left="720" w:hanging="360"/>
      </w:pPr>
      <w:rPr>
        <w:rFonts w:eastAsia="TimesNewRomanPSM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D924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A65DA7"/>
    <w:multiLevelType w:val="hybridMultilevel"/>
    <w:tmpl w:val="B122DF1C"/>
    <w:lvl w:ilvl="0" w:tplc="8B7460BC">
      <w:start w:val="1"/>
      <w:numFmt w:val="decimal"/>
      <w:lvlText w:val="%1)"/>
      <w:lvlJc w:val="left"/>
      <w:pPr>
        <w:ind w:left="720" w:hanging="360"/>
      </w:pPr>
      <w:rPr>
        <w:rFonts w:hint="default"/>
        <w:b w:val="0"/>
      </w:rPr>
    </w:lvl>
    <w:lvl w:ilvl="1" w:tplc="CAA229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A0"/>
    <w:rsid w:val="000C3B8D"/>
    <w:rsid w:val="00203591"/>
    <w:rsid w:val="00256BB6"/>
    <w:rsid w:val="003D0BC6"/>
    <w:rsid w:val="004B3257"/>
    <w:rsid w:val="00594D88"/>
    <w:rsid w:val="005B1200"/>
    <w:rsid w:val="0073776A"/>
    <w:rsid w:val="00905785"/>
    <w:rsid w:val="00985D6C"/>
    <w:rsid w:val="00A03B96"/>
    <w:rsid w:val="00AB2805"/>
    <w:rsid w:val="00B06857"/>
    <w:rsid w:val="00C745EC"/>
    <w:rsid w:val="00CB08A0"/>
    <w:rsid w:val="00D82253"/>
    <w:rsid w:val="00E025A1"/>
    <w:rsid w:val="00E801B2"/>
    <w:rsid w:val="00F47C66"/>
    <w:rsid w:val="00F51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FB9F"/>
  <w15:chartTrackingRefBased/>
  <w15:docId w15:val="{681BFC5A-0E6A-477C-882F-83C89F4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08A0"/>
    <w:pPr>
      <w:ind w:left="720"/>
      <w:contextualSpacing/>
    </w:pPr>
  </w:style>
  <w:style w:type="paragraph" w:styleId="Nagwek">
    <w:name w:val="header"/>
    <w:basedOn w:val="Normalny"/>
    <w:link w:val="NagwekZnak"/>
    <w:uiPriority w:val="99"/>
    <w:unhideWhenUsed/>
    <w:rsid w:val="005B12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0"/>
  </w:style>
  <w:style w:type="paragraph" w:styleId="Stopka">
    <w:name w:val="footer"/>
    <w:basedOn w:val="Normalny"/>
    <w:link w:val="StopkaZnak"/>
    <w:uiPriority w:val="99"/>
    <w:unhideWhenUsed/>
    <w:rsid w:val="005B1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0"/>
  </w:style>
  <w:style w:type="character" w:styleId="Pogrubienie">
    <w:name w:val="Strong"/>
    <w:qFormat/>
    <w:rsid w:val="00985D6C"/>
    <w:rPr>
      <w:b/>
      <w:bCs/>
    </w:rPr>
  </w:style>
  <w:style w:type="character" w:customStyle="1" w:styleId="FontStyle47">
    <w:name w:val="Font Style47"/>
    <w:rsid w:val="00985D6C"/>
    <w:rPr>
      <w:rFonts w:ascii="Tahoma" w:hAnsi="Tahoma" w:cs="Tahoma"/>
      <w:sz w:val="18"/>
      <w:szCs w:val="18"/>
    </w:rPr>
  </w:style>
  <w:style w:type="paragraph" w:styleId="Tekstdymka">
    <w:name w:val="Balloon Text"/>
    <w:basedOn w:val="Normalny"/>
    <w:link w:val="TekstdymkaZnak"/>
    <w:uiPriority w:val="99"/>
    <w:semiHidden/>
    <w:unhideWhenUsed/>
    <w:rsid w:val="00F51D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3485</Words>
  <Characters>20916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Osuszek</dc:creator>
  <cp:keywords/>
  <dc:description/>
  <cp:lastModifiedBy>M. Patela</cp:lastModifiedBy>
  <cp:revision>7</cp:revision>
  <cp:lastPrinted>2017-09-15T13:40:00Z</cp:lastPrinted>
  <dcterms:created xsi:type="dcterms:W3CDTF">2017-09-15T12:31:00Z</dcterms:created>
  <dcterms:modified xsi:type="dcterms:W3CDTF">2017-09-15T14:38:00Z</dcterms:modified>
</cp:coreProperties>
</file>